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
        <w:t xml:space="preserve">&lt;p&gt;&lt;strong&gt;Kodi Civil&lt;/strong&gt; është akti kryesor juridik që rregullon marrëdhëniet shoqërore, pasurore dhe personale ndërmjet qytetarëve, bizneseve dhe subjekteve të tjera private. Megjithatë, shqetësimi i madh qëndron në faktin se brenda tij janë përfshirë nene të cilat bien ndesh me realitetin faktik të shoqërisë sonë, duke cenuar themelet e saj, siç është familja, e duke prishur ekuilibrin dhe rolin primar të këtij institucioni bazë.&lt;/p&gt;
&lt;p&gt; &lt;/p&gt;
&lt;p&gt;Për këto arsye, nuk mund të jem dakord që Kodi Civil me këtë përmbajtje të miratohet në Kuvendin e Kosovës. Ky qëndrim mbështetet në argumentet e mëposhtme:&lt;/p&gt;
&lt;p&gt;&lt;br /&gt; &lt;/p&gt;
&lt;ol&gt;
&lt;li&gt;&lt;strong&gt; Aspekti Biologjik, Antropologjik dhe Demografik&lt;/strong&gt;&lt;/li&gt;
&lt;/ol&gt;
&lt;ul&gt;
&lt;li&gt;&lt;strong&gt;Përkufizimi biologjik dhe prokreacioni:&lt;/strong&gt; Që nga zanafilla, njeriu njihet në dy gjini: mashkull dhe femër. Përgjatë historisë nuk është njohur ndonjë alternativë tjetër, gjë që konfirmohet qartë edhe nga tekstet fetare dhe ato historiko-sociale. Martesa është një institucion universal i pranishëm në të gjitha kulturat njerëzore si bashkim natyror mes një burri dhe një gruaje. Ajo lindi si nevojë biologjike dhe shoqërore për të mbrojtur, rregulluar dhe nxitur riprodhimin natyror (prokreacionin), si bazë e vazhdimësisë së shoqërisë. Ndryshimi i këtij përkufizimi tjetërson kuptimin historik e kulturor të familjes në ndërgjegjen kolektive.&lt;/li&gt;
&lt;/ul&gt;
&lt;p&gt; &lt;/p&gt;
&lt;ul&gt;
&lt;li&gt;&lt;strong&gt;Respektimi i të Drejtave të Njeriut:&lt;/strong&gt; Shumë nga ata që trumbetojnë mbrojtjen e të drejtave të njeriut, në veçanti për grupe të caktuara të pakicës, përfundojnë duke cenuar të drejtën themelore të fëmijës për të pasur të dy prindërit: babanë dhe nënën. Në këtë mënyrë, fëmija privohet nga kjo e drejtë natyrore. Ekspertë të zhvillimit të fëmijës dhe hulumtime antropologjike argumentojnë se fëmijët përfitojnë në mënyrë unike nga prania e të dy gjinive brenda strukturës familjare, pasi secila gjini ofron modele psikologjike dhe sociale plotësuese.&lt;/li&gt;
&lt;/ul&gt;
&lt;p&gt; &lt;/p&gt;
&lt;ul&gt;
&lt;li&gt;&lt;strong&gt;Sfidat demografike:&lt;/strong&gt; Në një kohë kur shumë vende të zhvilluara perëndimore po përballen me rënie të lindshmërisë, politika familjare e shtetit duhet t'i japë përparësi dhe të mbrojë modelin tradicional të familjes, si të vetmin me potencial natyror lindjeje. Kjo duhet të jetë prioritet kombëtar, veçanërisht për Kosovën, ku që nga vitet '90 lëvizjet demografike tregojnë një tkurrje të vazhdueshme të popullsisë.&lt;/li&gt;
&lt;/ul&gt;
&lt;p&gt; &lt;/p&gt;
&lt;ol start="2"&gt;
&lt;li&gt;&lt;strong&gt; Aspekti Demokratik, Kulturor dhe Religjioz&lt;/strong&gt;&lt;/li&gt;
&lt;/ol&gt;
&lt;ul&gt;
&lt;li&gt;&lt;strong&gt;Kohezioni social dhe përvoja ndërkombëtare:&lt;/strong&gt; Rruga jonë synon integrimin në mesin e vendeve demokratike, por kjo kërkon ruajtjen e ndjeshmërisë së të gjithë qytetarëve, e posaçërisht të shumicës. Përvoja e vendeve si Franca (gjatë debateve për &lt;em&gt;Mariage pour tous&lt;/em&gt;) apo e vendeve të Evropës Lindore tregon se ndryshimet e shpejta ligjore pa një konsensus të gjerë shoqëror thellojnë ndarjet kulturore, rrisin polarizimin dhe minojnë kohezionin social. Miratimi i këtyre neneve në rrethanat aktuale vetëm sa do t'i shërbente ndasive të skajshme. Vlen të theksohet se 9 vende anëtare të BE-së (Italia, Hungaria, Sllovakia, Rumania, Qiproja, Lituania, Letonia, Polonia dhe Greqia) ende nuk e lejojnë martesën e së njëjtës gjini në legjislacionin e tyre civil.&lt;/li&gt;
&lt;/ul&gt;
&lt;p&gt; &lt;/p&gt;
&lt;ul&gt;
&lt;li&gt;&lt;strong&gt;Liria e shprehjes dhe e ndërgjegjes:&lt;/strong&gt; Miratimi i martesave të së njëjtës gjini rrezikon të ngushtojë lirinë e shprehjes dhe të ndërgjegjes për individët, arsimtarët, bizneset apo profesionistët që, për arsye morale ose fetare, refuzojnë t'i mbështesin ato, duke i ekspozuar ndaj sanksioneve profesionale apo sociale. Kjo krijon një situatë ku shumica privohet nga të drejtat e saj për shkak të vendimeve që favorizojnë një grup të vogël.&lt;/li&gt;
&lt;/ul&gt;
&lt;p&gt; &lt;/p&gt;
&lt;ul&gt;
&lt;li&gt;&lt;strong&gt;Mbrojtja e besimit dhe autonomisë fetare:&lt;/strong&gt; Për komunitetet fetare në Kosovë (myslimane dhe të krishtera), martesa është një institucion i shenjtë i ligjësuar nga Zoti ekskluzivisht mes një burri dhe një gruaje. Ndërhyrja e shtetit në ripërkufizimin e një koncepti me rrënjë teologjike shihet si cenim i parimeve të besimit. Edhe pse shteti ndan ligjin civil nga ai fetar, ekziston shqetësimi real se presionet ligjore dhe politike mund t'i detyrojnë gradualisht institucionet fetare të pranojnë ceremoni që bien ndesh me mësimet e tyre, duke cenuar autonominë shpirtërore.&lt;/li&gt;
&lt;/ul&gt;
&lt;p&gt; &lt;/p&gt;
&lt;ul&gt;
&lt;li&gt;&lt;strong&gt;Parimi i shumicës dhe sovraniteti popullor:&lt;/strong&gt; Në shtete me traditë të konsoliduar demokratike (si Zvicra apo Italia), çështje të tilla madhore u janë nënshtruar votimit popullor. Ndryshimet e thella në strukturën shoqërore duhet të përcaktohen nga vullneti i drejtpërdrejtë i qytetarëve përmes referendumit, dhe jo vetëm nga vendimet e gjykatave apo shumicave të përkohshme parlamentare. Ky vendim mbart një përgjegjësi të madhe morale e shoqërore për secilin deputet, shumica e të cilëve u përkasin besimeve që e ruajnë këtë traditë, duke e bërë këtë hap një barrë me pasoja afatgjate.&lt;/li&gt;
&lt;/ul&gt;
&lt;p&gt; &lt;/p&gt;
&lt;p&gt;Nisur nga këto argumente, i bëj thirrje Qeverisë së Kosovës që ta rishikojë këtë hap dhe të marrë vendime që mbrojnë interesin e shumicës së qytetarëve, duke garantuar një Kod Civil që i shërben mirëqenies dhe stabilitetit të shoqërisë sonë.&lt;/p&gt;
&lt;p&gt; &lt;/p&gt;
&lt;p&gt;Përmbyllja ime është që Qeveria ta tërheqë në tërësi Nenin 1138, i cili parasheh bashkësi civile ndërmjet personave të të njëjtit seks dhe ngre çështje të rëndësishme lidhur me pasojat juridike në familje, birësim dhe trashëgimi&lt;span data-path-to-node="13,2"&gt;. Gjithashtu, kërkojmë që dispozitat për birësimin dhe përgjegjësinë prindërore të garantojnë mbrojtjen e interesit të fëmijës, identitetit të tij familjar e fetar, si dhe të drejtën e prindërve për edukim moral e fetar&lt;/span&gt;&lt;span data-path-to-node="13,4"&gt;. Kërkoj po ashtu respektimin e autonomisë së bashkësive fetare, të garantuar me nenin 39 të Kushtetutës së Kosovës&lt;/span&gt;&lt;span data-path-to-node="13,6"&gt;.&lt;/span&gt;&lt;/p&gt;
&lt;p&gt; &lt;/p&gt;
&lt;p&gt;Përmbyllja ime është që Qeveria ta tërheqë në tërësi Nenin 1138, i cili parasheh bashkësi civile ndërmjet personave të të njëjtit seks dhe ngre çështje të rëndësishme lidhur me pasojat juridike në familje, birësim dhe trashëgimi&lt;span data-path-to-node="13,2"&gt;. Gjithashtu, kërkojmë që dispozitat për birësimin dhe përgjegjësinë prindërore të garantojnë mbrojtjen e interesit të fëmijës, identitetit të tij familjar e fetar, si dhe të drejtën e prindërve për edukim moral e fetar&lt;/span&gt;&lt;span data-path-to-node="13,4"&gt;. Kërkoj po ashtu respektimin e autonomisë së bashkësive fetare, të garantuar me nenin 39 të Kushtetutës së Kosovës&lt;/span&gt;&lt;span data-path-to-node="13,6"&gt;.&lt;/span&gt;&lt;/p&gt;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2026-11-07T21:26:40+01:00</dcterms:created>
  <dcterms:modified xsi:type="dcterms:W3CDTF">2026-11-07T21:26:40+01:00</dcterms:modified>
  <dc:title/>
  <dc:description/>
  <dc:subject/>
  <cp:keywords/>
  <cp:category/>
</cp:coreProperties>
</file>